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37" w:rsidRPr="00645837" w:rsidRDefault="00645837" w:rsidP="0064583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r w:rsidRPr="00645837">
        <w:rPr>
          <w:rFonts w:ascii="Times New Roman" w:eastAsia="Times New Roman" w:hAnsi="Times New Roman" w:cs="Times New Roman"/>
          <w:b/>
          <w:bCs/>
          <w:sz w:val="28"/>
          <w:szCs w:val="28"/>
          <w:lang w:eastAsia="ru-RU"/>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w:t>
      </w:r>
      <w:bookmarkEnd w:id="0"/>
      <w:r w:rsidRPr="00645837">
        <w:rPr>
          <w:rFonts w:ascii="Times New Roman" w:eastAsia="Times New Roman" w:hAnsi="Times New Roman" w:cs="Times New Roman"/>
          <w:b/>
          <w:bCs/>
          <w:sz w:val="28"/>
          <w:szCs w:val="28"/>
          <w:lang w:eastAsia="ru-RU"/>
        </w:rPr>
        <w:t>и заполнения соответствующей формы справки в 2023 году (за отчетный 2022 год) (утв. Минтруда РФ, по состоянию на 30 декабря 2022 г.)</w:t>
      </w:r>
    </w:p>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10 января 2023 </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645837">
        <w:rPr>
          <w:rFonts w:ascii="Times New Roman" w:eastAsia="Times New Roman" w:hAnsi="Times New Roman" w:cs="Times New Roman"/>
          <w:sz w:val="24"/>
          <w:szCs w:val="24"/>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w:t>
      </w:r>
      <w:r w:rsidRPr="00645837">
        <w:rPr>
          <w:rFonts w:ascii="Times New Roman" w:eastAsia="Times New Roman" w:hAnsi="Times New Roman" w:cs="Times New Roman"/>
          <w:sz w:val="24"/>
          <w:szCs w:val="24"/>
          <w:lang w:eastAsia="ru-RU"/>
        </w:rPr>
        <w:lastRenderedPageBreak/>
        <w:t>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I. Представление сведений о доходах, расходах, об имуществе и обязательствах имущественного характера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4" w:anchor="1020" w:history="1">
        <w:r w:rsidRPr="00645837">
          <w:rPr>
            <w:rFonts w:ascii="Times New Roman" w:eastAsia="Times New Roman" w:hAnsi="Times New Roman" w:cs="Times New Roman"/>
            <w:color w:val="0000FF"/>
            <w:sz w:val="24"/>
            <w:szCs w:val="24"/>
            <w:u w:val="single"/>
            <w:lang w:eastAsia="ru-RU"/>
          </w:rPr>
          <w:t>подпунктом 2</w:t>
        </w:r>
      </w:hyperlink>
      <w:r w:rsidRPr="00645837">
        <w:rPr>
          <w:rFonts w:ascii="Times New Roman" w:eastAsia="Times New Roman" w:hAnsi="Times New Roman" w:cs="Times New Roman"/>
          <w:sz w:val="24"/>
          <w:szCs w:val="24"/>
          <w:lang w:eastAsia="ru-RU"/>
        </w:rPr>
        <w:t xml:space="preserve"> настоящего пункта);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r w:rsidRPr="00645837">
        <w:rPr>
          <w:rFonts w:ascii="Times New Roman" w:eastAsia="Times New Roman" w:hAnsi="Times New Roman" w:cs="Times New Roman"/>
          <w:sz w:val="24"/>
          <w:szCs w:val="24"/>
          <w:lang w:eastAsia="ru-RU"/>
        </w:rPr>
        <w:lastRenderedPageBreak/>
        <w:t>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 иными лицами в соответствии с законодательством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любой должности государственной службы Российской Федерации (поступающим на службу);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w:t>
      </w:r>
      <w:r w:rsidRPr="00645837">
        <w:rPr>
          <w:rFonts w:ascii="Times New Roman" w:eastAsia="Times New Roman" w:hAnsi="Times New Roman" w:cs="Times New Roman"/>
          <w:sz w:val="24"/>
          <w:szCs w:val="24"/>
          <w:lang w:eastAsia="ru-RU"/>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должности финансового уполномоченного, руководителя службы обеспечения деятельности финансового уполномоченного;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 иных должностей в соответствии с законодательством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w:t>
      </w:r>
      <w:r w:rsidRPr="00645837">
        <w:rPr>
          <w:rFonts w:ascii="Times New Roman" w:eastAsia="Times New Roman" w:hAnsi="Times New Roman" w:cs="Times New Roman"/>
          <w:sz w:val="24"/>
          <w:szCs w:val="24"/>
          <w:lang w:eastAsia="ru-RU"/>
        </w:rPr>
        <w:lastRenderedPageBreak/>
        <w:t>государственной службы в данном государственном органе, предусмотренной этим перечнем.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Обязательность представления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8. Лица, призванные на военную службу по мобилизации или заключившие в соответствии с пунктом 7 статьи 38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5" w:anchor="12" w:history="1">
        <w:r w:rsidRPr="00645837">
          <w:rPr>
            <w:rFonts w:ascii="Times New Roman" w:eastAsia="Times New Roman" w:hAnsi="Times New Roman" w:cs="Times New Roman"/>
            <w:color w:val="0000FF"/>
            <w:sz w:val="24"/>
            <w:szCs w:val="24"/>
            <w:u w:val="single"/>
            <w:lang w:eastAsia="ru-RU"/>
          </w:rPr>
          <w:t>пункте 12</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Сроки представления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 Служащие (работники) представляют Сведения ежегодно в следующие сроки: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13. Сведения могут быть представлены служащим (работником) в любое время, начиная с 1 января года, следующего за отчетным.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6" w:anchor="10" w:history="1">
        <w:r w:rsidRPr="00645837">
          <w:rPr>
            <w:rFonts w:ascii="Times New Roman" w:eastAsia="Times New Roman" w:hAnsi="Times New Roman" w:cs="Times New Roman"/>
            <w:color w:val="0000FF"/>
            <w:sz w:val="24"/>
            <w:szCs w:val="24"/>
            <w:u w:val="single"/>
            <w:lang w:eastAsia="ru-RU"/>
          </w:rPr>
          <w:t>пункте 10</w:t>
        </w:r>
      </w:hyperlink>
      <w:r w:rsidRPr="00645837">
        <w:rPr>
          <w:rFonts w:ascii="Times New Roman" w:eastAsia="Times New Roman" w:hAnsi="Times New Roman" w:cs="Times New Roman"/>
          <w:sz w:val="24"/>
          <w:szCs w:val="24"/>
          <w:lang w:eastAsia="ru-RU"/>
        </w:rPr>
        <w:t xml:space="preserve"> настоящих Методический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Нерабочий день не является основанием для переноса срока представления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Лица, в отношении которых представляются Сведения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 Сведения представляются отдельно: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в отношении служащего (работника),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в отношении его супруги (супруга),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в отношении каждого несовершеннолетнего ребенка служащего (работника).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 Отчетный период и отчетная дата представления Сведений, установленные для граждан и служащих (работников), различны: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гражданин представляет: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 служащий (работник) представляет ежегодно: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r:id="rId7" w:anchor="1801" w:history="1">
        <w:r w:rsidRPr="00645837">
          <w:rPr>
            <w:rFonts w:ascii="Times New Roman" w:eastAsia="Times New Roman" w:hAnsi="Times New Roman" w:cs="Times New Roman"/>
            <w:color w:val="0000FF"/>
            <w:sz w:val="24"/>
            <w:szCs w:val="24"/>
            <w:u w:val="single"/>
            <w:lang w:eastAsia="ru-RU"/>
          </w:rPr>
          <w:t>подпункта 1 пункта 18</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Замещение конкретной должности на отчетную дату как основание для представления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 Представление Сведений после увольнения служащего (работника) в период с 1 января по 1 (30) апреля 2023 г. не требуется.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Определение круга лиц (членов семьи), в отношении которых необходимо представить Сведения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23. Сведения представляются с учетом семейного положения, в котором находился гражданин, служащий (работник) по состоянию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Супруги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24.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25.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Перечень ситуаций и рекомендуемые действия (таблица 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1"/>
        <w:gridCol w:w="5704"/>
      </w:tblGrid>
      <w:tr w:rsidR="00645837" w:rsidRPr="00645837" w:rsidTr="00645837">
        <w:trPr>
          <w:tblCellSpacing w:w="15" w:type="dxa"/>
        </w:trPr>
        <w:tc>
          <w:tcPr>
            <w:tcW w:w="0" w:type="auto"/>
            <w:gridSpan w:val="2"/>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Пример: служащий (работник) представляет Сведения в 2023 году (за отчетный 2022 г.)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заключен в органах записи актов гражданского состояния (далее - ЗАГС) в ноябре 2022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супруги (супруга) представляются, поскольку по состоянию на отчетную дату (31 декабря 2022 года) служащий (работник) состоял в браке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заключен в ЗАГСе в марте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645837" w:rsidRPr="00645837" w:rsidTr="00645837">
        <w:trPr>
          <w:tblCellSpacing w:w="15" w:type="dxa"/>
        </w:trPr>
        <w:tc>
          <w:tcPr>
            <w:tcW w:w="0" w:type="auto"/>
            <w:gridSpan w:val="2"/>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заключен 1 февраля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супруги представляются, поскольку по состоянию на отчетную дату (1 августа 2023 года) гражданин состоял в браке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заключен 2 августа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супруги не представляются, поскольку по состоянию на отчетную дату (1 августа 2023 года) гражданин еще не вступил в брак </w:t>
            </w:r>
          </w:p>
        </w:tc>
      </w:tr>
    </w:tbl>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26.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Перечень ситуаций и рекомендуемые действия (таблица 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4"/>
        <w:gridCol w:w="5981"/>
      </w:tblGrid>
      <w:tr w:rsidR="00645837" w:rsidRPr="00645837" w:rsidTr="00645837">
        <w:trPr>
          <w:tblCellSpacing w:w="15" w:type="dxa"/>
        </w:trPr>
        <w:tc>
          <w:tcPr>
            <w:tcW w:w="0" w:type="auto"/>
            <w:gridSpan w:val="2"/>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Пример: служащий (работник) представляет Сведения в 2023 году (за отчетный 2022 г.)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был расторгнут в ЗАГСе в ноябре 2022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бывшей супруги не представляются, поскольку по состоянию на отчетную дату (31 декабря 2022 года) служащий (работник) не состоял в браке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Окончательное решение о расторжении брака было принято судом 12 декабря 2022 года и вступило в законную силу 12 января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w:t>
            </w:r>
            <w:r w:rsidRPr="00645837">
              <w:rPr>
                <w:rFonts w:ascii="Times New Roman" w:eastAsia="Times New Roman" w:hAnsi="Times New Roman" w:cs="Times New Roman"/>
                <w:sz w:val="24"/>
                <w:szCs w:val="24"/>
                <w:lang w:eastAsia="ru-RU"/>
              </w:rPr>
              <w:lastRenderedPageBreak/>
              <w:t xml:space="preserve">дату (31 декабря 2022 года) служащий (работник) считался состоявшим в браке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 xml:space="preserve">Брак был расторгнут в ЗАГСе в марте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по состоянию на отчетную дату (31 декабря 2022 года) служащий (работник) состоял в браке </w:t>
            </w:r>
          </w:p>
        </w:tc>
      </w:tr>
      <w:tr w:rsidR="00645837" w:rsidRPr="00645837" w:rsidTr="00645837">
        <w:trPr>
          <w:tblCellSpacing w:w="15" w:type="dxa"/>
        </w:trPr>
        <w:tc>
          <w:tcPr>
            <w:tcW w:w="0" w:type="auto"/>
            <w:gridSpan w:val="2"/>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был расторгнут в ЗАГСе 1 июля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бывшей супруги не представляются, поскольку по состоянию на отчетную дату (1 августа 2023 года) гражданин не состоял в браке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Брак был расторгнут в ЗАГСе 2 августа 2023 года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по состоянию на отчетную дату (1 августа 2023 года) гражданин состоял в браке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Окончательное решение о расторжении брака было принято судом 4 июля 2023 года и вступило в законную силу 4 августа 2023 г.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 </w:t>
            </w:r>
          </w:p>
        </w:tc>
      </w:tr>
    </w:tbl>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27. Лица, обязанные представлять Сведения в отношении своих супруг (супругов), не представляют такие Сведения, если: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их супруги призваны на военную службу по мобилизации в Вооруженные Силы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этом случае такими лицами могут быть представлены документы, подтверждающие обозначенный статус их супруг (супругов).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28. Непредставление Сведений в отношении своей супруги (супруга), указанной в </w:t>
      </w:r>
      <w:hyperlink r:id="rId8" w:anchor="27" w:history="1">
        <w:r w:rsidRPr="00645837">
          <w:rPr>
            <w:rFonts w:ascii="Times New Roman" w:eastAsia="Times New Roman" w:hAnsi="Times New Roman" w:cs="Times New Roman"/>
            <w:color w:val="0000FF"/>
            <w:sz w:val="24"/>
            <w:szCs w:val="24"/>
            <w:u w:val="single"/>
            <w:lang w:eastAsia="ru-RU"/>
          </w:rPr>
          <w:t>пункте 27</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 служащим (работником) в ситуациях, предусмотренных </w:t>
      </w:r>
      <w:hyperlink r:id="rId9" w:anchor="1" w:history="1">
        <w:r w:rsidRPr="00645837">
          <w:rPr>
            <w:rFonts w:ascii="Times New Roman" w:eastAsia="Times New Roman" w:hAnsi="Times New Roman" w:cs="Times New Roman"/>
            <w:color w:val="0000FF"/>
            <w:sz w:val="24"/>
            <w:szCs w:val="24"/>
            <w:u w:val="single"/>
            <w:lang w:eastAsia="ru-RU"/>
          </w:rPr>
          <w:t>пунктом 1</w:t>
        </w:r>
      </w:hyperlink>
      <w:r w:rsidRPr="00645837">
        <w:rPr>
          <w:rFonts w:ascii="Times New Roman" w:eastAsia="Times New Roman" w:hAnsi="Times New Roman" w:cs="Times New Roman"/>
          <w:sz w:val="24"/>
          <w:szCs w:val="24"/>
          <w:lang w:eastAsia="ru-RU"/>
        </w:rPr>
        <w:t xml:space="preserve"> настоящих Методических рекомендаций, не требует направления и соответствующего рассмотрения заявления, предусмотренного </w:t>
      </w:r>
      <w:hyperlink r:id="rId10" w:anchor="39" w:history="1">
        <w:r w:rsidRPr="00645837">
          <w:rPr>
            <w:rFonts w:ascii="Times New Roman" w:eastAsia="Times New Roman" w:hAnsi="Times New Roman" w:cs="Times New Roman"/>
            <w:color w:val="0000FF"/>
            <w:sz w:val="24"/>
            <w:szCs w:val="24"/>
            <w:u w:val="single"/>
            <w:lang w:eastAsia="ru-RU"/>
          </w:rPr>
          <w:t>пунктом 39</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 xml:space="preserve">2) гражданином в ситуациях, предусмотренных </w:t>
      </w:r>
      <w:hyperlink r:id="rId11" w:anchor="2" w:history="1">
        <w:r w:rsidRPr="00645837">
          <w:rPr>
            <w:rFonts w:ascii="Times New Roman" w:eastAsia="Times New Roman" w:hAnsi="Times New Roman" w:cs="Times New Roman"/>
            <w:color w:val="0000FF"/>
            <w:sz w:val="24"/>
            <w:szCs w:val="24"/>
            <w:u w:val="single"/>
            <w:lang w:eastAsia="ru-RU"/>
          </w:rPr>
          <w:t>пунктом 2</w:t>
        </w:r>
      </w:hyperlink>
      <w:r w:rsidRPr="00645837">
        <w:rPr>
          <w:rFonts w:ascii="Times New Roman" w:eastAsia="Times New Roman" w:hAnsi="Times New Roman" w:cs="Times New Roman"/>
          <w:sz w:val="24"/>
          <w:szCs w:val="24"/>
          <w:lang w:eastAsia="ru-RU"/>
        </w:rPr>
        <w:t xml:space="preserve"> настоящих Методических рекомендаций, не может являться основанием для отказа в поступлении (назначении);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3) служащим (работником) в ситуациях, предусмотренных </w:t>
      </w:r>
      <w:hyperlink r:id="rId12" w:anchor="4" w:history="1">
        <w:r w:rsidRPr="00645837">
          <w:rPr>
            <w:rFonts w:ascii="Times New Roman" w:eastAsia="Times New Roman" w:hAnsi="Times New Roman" w:cs="Times New Roman"/>
            <w:color w:val="0000FF"/>
            <w:sz w:val="24"/>
            <w:szCs w:val="24"/>
            <w:u w:val="single"/>
            <w:lang w:eastAsia="ru-RU"/>
          </w:rPr>
          <w:t>пунктом 4</w:t>
        </w:r>
      </w:hyperlink>
      <w:r w:rsidRPr="00645837">
        <w:rPr>
          <w:rFonts w:ascii="Times New Roman" w:eastAsia="Times New Roman" w:hAnsi="Times New Roman" w:cs="Times New Roman"/>
          <w:sz w:val="24"/>
          <w:szCs w:val="24"/>
          <w:lang w:eastAsia="ru-RU"/>
        </w:rPr>
        <w:t xml:space="preserve"> настоящих Методических рекомендаций, не может являться основанием для отказа в назначении.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Несовершеннолетние дети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Перечень ситуаций и рекомендуемые действия (таблица N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6969"/>
      </w:tblGrid>
      <w:tr w:rsidR="00645837" w:rsidRPr="00645837" w:rsidTr="00645837">
        <w:trPr>
          <w:tblCellSpacing w:w="15" w:type="dxa"/>
        </w:trPr>
        <w:tc>
          <w:tcPr>
            <w:tcW w:w="0" w:type="auto"/>
            <w:gridSpan w:val="2"/>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Пример: служащий (работник) представляет Сведения в 2023 году (за отчетный 2022 г.)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Дочери служащего (работника) 21 мая 2022 года исполнилось 18 лет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Дочери служащего (работника) 30 декабря 2022 года исполнилось 18 лет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Дочери служащего (работника) 31 декабря 2022 года исполнилось 18 лет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 </w:t>
            </w:r>
          </w:p>
        </w:tc>
      </w:tr>
      <w:tr w:rsidR="00645837" w:rsidRPr="00645837" w:rsidTr="00645837">
        <w:trPr>
          <w:tblCellSpacing w:w="15" w:type="dxa"/>
        </w:trPr>
        <w:tc>
          <w:tcPr>
            <w:tcW w:w="0" w:type="auto"/>
            <w:gridSpan w:val="2"/>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Пример: гражданин представляет в сентябре 2023 года Сведения в связи с назначением на должность. Отчетной датой является 1 августа 2023 года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Сыну гражданина 5 мая 2023 года исполнилось 18 лет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Сыну гражданина 1 августа 2023 года исполнилось 18 лет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Сыну гражданина 17 августа 2023 года исполнилось 18 лет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w:t>
      </w:r>
      <w:r w:rsidRPr="00645837">
        <w:rPr>
          <w:rFonts w:ascii="Times New Roman" w:eastAsia="Times New Roman" w:hAnsi="Times New Roman" w:cs="Times New Roman"/>
          <w:sz w:val="24"/>
          <w:szCs w:val="24"/>
          <w:lang w:eastAsia="ru-RU"/>
        </w:rPr>
        <w:lastRenderedPageBreak/>
        <w:t>супруга (супруг) является опекуном (попечителем) или его супруга (супруг) является усыновителем такого ребенка, не является нарушением.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Уточнение представленных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36.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bookmarkStart w:id="2" w:name="38"/>
      <w:bookmarkStart w:id="3" w:name="1"/>
      <w:bookmarkEnd w:id="2"/>
      <w:bookmarkEnd w:id="3"/>
      <w:r w:rsidRPr="00645837">
        <w:rPr>
          <w:rFonts w:ascii="Times New Roman" w:eastAsia="Times New Roman" w:hAnsi="Times New Roman" w:cs="Times New Roman"/>
          <w:sz w:val="24"/>
          <w:szCs w:val="24"/>
          <w:lang w:eastAsia="ru-RU"/>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Рекомендуемые действия при невозможности представить Сведения в отношении члена семьи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w:t>
      </w:r>
      <w:r w:rsidRPr="00645837">
        <w:rPr>
          <w:rFonts w:ascii="Times New Roman" w:eastAsia="Times New Roman" w:hAnsi="Times New Roman" w:cs="Times New Roman"/>
          <w:sz w:val="24"/>
          <w:szCs w:val="24"/>
          <w:lang w:eastAsia="ru-RU"/>
        </w:rPr>
        <w:lastRenderedPageBreak/>
        <w:t>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40. Заявление подается в порядке, установленном нормативным правовым актом органа публичной власти или актом организации.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41. Заявление должно быть направлено до истечения срока, установленного для представления служащим (работником) Сведений.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Заявление подается (таблица 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8"/>
        <w:gridCol w:w="4747"/>
      </w:tblGrid>
      <w:tr w:rsidR="00645837" w:rsidRPr="00645837" w:rsidTr="00645837">
        <w:trPr>
          <w:tblCellSpacing w:w="15" w:type="dxa"/>
        </w:trPr>
        <w:tc>
          <w:tcPr>
            <w:tcW w:w="0" w:type="auto"/>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В Управление Президента Российской Федерации по вопросам противодействия коррупции </w:t>
            </w:r>
          </w:p>
        </w:tc>
        <w:tc>
          <w:tcPr>
            <w:tcW w:w="0" w:type="auto"/>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Департамент кадров Правительства Российской Федерации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лицами, замещающими должности федеральной государственной службы, должности в государственных корпорациях </w:t>
            </w:r>
            <w:r w:rsidRPr="00645837">
              <w:rPr>
                <w:rFonts w:ascii="Times New Roman" w:eastAsia="Times New Roman" w:hAnsi="Times New Roman" w:cs="Times New Roman"/>
                <w:sz w:val="24"/>
                <w:szCs w:val="24"/>
                <w:lang w:eastAsia="ru-RU"/>
              </w:rPr>
              <w:lastRenderedPageBreak/>
              <w:t xml:space="preserve">(компаниях,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подразделение по профилактике коррупционных и иных правонарушений Центрального банка Российской Федерации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w:t>
            </w:r>
          </w:p>
        </w:tc>
      </w:tr>
    </w:tbl>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II. Заполнение справки о доходах, расходах, об имуществе и обязательствах имущественного характера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45. Форма справки является унифицированной для всех лиц, на которых распространяется обязанность представлять Сведения.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46.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47.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печати справки формируются зоны со служебной информацией (штриховые коды и т.п.), нанесение каких-либо пометок на которые не допускается.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48. СПО "Справки БК" размещено на официальном сайте Президента Российской Федерации (http://www.kremlin.ru/structure/additional/12), ссылка на который также </w:t>
      </w:r>
      <w:r w:rsidRPr="00645837">
        <w:rPr>
          <w:rFonts w:ascii="Times New Roman" w:eastAsia="Times New Roman" w:hAnsi="Times New Roman" w:cs="Times New Roman"/>
          <w:sz w:val="24"/>
          <w:szCs w:val="24"/>
          <w:lang w:eastAsia="ru-RU"/>
        </w:rPr>
        <w:lastRenderedPageBreak/>
        <w:t>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49.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справки, рекомендуется распечатать и подписать справки в течение одного дня (одной датой).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для печати справок используется лазерный принтер, обеспечивающий качественную печать;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не допускаются дефекты печати в виде полос, пятен (при дефектах барабана или картриджа принтера);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не допускаются рукописные 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Справки не следует прошивать и фиксировать скрепкой.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Печатать справки рекомендуется только на одной стороне листа.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Титульный лист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51. При заполнении титульного листа справки рекомендуется обратить внимание на следующее: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w:t>
      </w:r>
      <w:r w:rsidRPr="00645837">
        <w:rPr>
          <w:rFonts w:ascii="Times New Roman" w:eastAsia="Times New Roman" w:hAnsi="Times New Roman" w:cs="Times New Roman"/>
          <w:sz w:val="24"/>
          <w:szCs w:val="24"/>
          <w:lang w:eastAsia="ru-RU"/>
        </w:rPr>
        <w:lastRenderedPageBreak/>
        <w:t>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дата рождения (год рождения) указывается в соответствии с записью в документе, удостоверяющем личность;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w:t>
      </w:r>
      <w:r w:rsidRPr="00645837">
        <w:rPr>
          <w:rFonts w:ascii="Times New Roman" w:eastAsia="Times New Roman" w:hAnsi="Times New Roman" w:cs="Times New Roman"/>
          <w:sz w:val="24"/>
          <w:szCs w:val="24"/>
          <w:lang w:eastAsia="ru-RU"/>
        </w:rPr>
        <w:lastRenderedPageBreak/>
        <w:t>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Раздел 1. Сведения о доходах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52.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Доход по основному месту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54.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w:t>
      </w:r>
      <w:r w:rsidRPr="00645837">
        <w:rPr>
          <w:rFonts w:ascii="Times New Roman" w:eastAsia="Times New Roman" w:hAnsi="Times New Roman" w:cs="Times New Roman"/>
          <w:sz w:val="24"/>
          <w:szCs w:val="24"/>
          <w:lang w:eastAsia="ru-RU"/>
        </w:rPr>
        <w:lastRenderedPageBreak/>
        <w:t>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Особенности заполнения данного раздела отдельными категориями лиц</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57.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Доход от педагогической и научной деятельности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60. 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Доход от иной творческой деятельности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62.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63.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Доход от вкладов в банках и иных кредитных организациях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64.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65. Сведения о наличии соответствующих банковских счетов и вкладов указываются в разделе 4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66. Доход, полученный в иностранной валюте, указывается в рублях по курсу Банка России на дату получения дохода (с учетом положений </w:t>
      </w:r>
      <w:hyperlink r:id="rId13"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r:id="rId14"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w:t>
      </w:r>
      <w:r w:rsidRPr="00645837">
        <w:rPr>
          <w:rFonts w:ascii="Times New Roman" w:eastAsia="Times New Roman" w:hAnsi="Times New Roman" w:cs="Times New Roman"/>
          <w:sz w:val="24"/>
          <w:szCs w:val="24"/>
          <w:lang w:eastAsia="ru-RU"/>
        </w:rPr>
        <w:lastRenderedPageBreak/>
        <w:t>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дисконт, полученный в качестве дохода по облигациям;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Иные доходы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73. В данной строке указываются доходы, которые не были отражены в строках 1-5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 например, в строке иные доходы могут быть указаны: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государственная и негосударственная пенсии (при этом разные виды пенсий (по возрасту и пенсия военнослужащего) не следует суммировать);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форме 6-НДФЛ, выдаваемую по месту службы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r:id="rId15" w:anchor="39" w:history="1">
        <w:r w:rsidRPr="00645837">
          <w:rPr>
            <w:rFonts w:ascii="Times New Roman" w:eastAsia="Times New Roman" w:hAnsi="Times New Roman" w:cs="Times New Roman"/>
            <w:color w:val="0000FF"/>
            <w:sz w:val="24"/>
            <w:szCs w:val="24"/>
            <w:u w:val="single"/>
            <w:lang w:eastAsia="ru-RU"/>
          </w:rPr>
          <w:t>пунктом 39</w:t>
        </w:r>
      </w:hyperlink>
      <w:r w:rsidRPr="00645837">
        <w:rPr>
          <w:rFonts w:ascii="Times New Roman" w:eastAsia="Times New Roman" w:hAnsi="Times New Roman" w:cs="Times New Roman"/>
          <w:sz w:val="24"/>
          <w:szCs w:val="24"/>
          <w:lang w:eastAsia="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стипендия;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w:t>
      </w:r>
      <w:r w:rsidRPr="00645837">
        <w:rPr>
          <w:rFonts w:ascii="Times New Roman" w:eastAsia="Times New Roman" w:hAnsi="Times New Roman" w:cs="Times New Roman"/>
          <w:sz w:val="24"/>
          <w:szCs w:val="24"/>
          <w:lang w:eastAsia="ru-RU"/>
        </w:rPr>
        <w:lastRenderedPageBreak/>
        <w:t>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6" w:anchor="39" w:history="1">
        <w:r w:rsidRPr="00645837">
          <w:rPr>
            <w:rFonts w:ascii="Times New Roman" w:eastAsia="Times New Roman" w:hAnsi="Times New Roman" w:cs="Times New Roman"/>
            <w:color w:val="0000FF"/>
            <w:sz w:val="24"/>
            <w:szCs w:val="24"/>
            <w:u w:val="single"/>
            <w:lang w:eastAsia="ru-RU"/>
          </w:rPr>
          <w:t>пунктом 39</w:t>
        </w:r>
      </w:hyperlink>
      <w:r w:rsidRPr="00645837">
        <w:rPr>
          <w:rFonts w:ascii="Times New Roman" w:eastAsia="Times New Roman" w:hAnsi="Times New Roman" w:cs="Times New Roman"/>
          <w:sz w:val="24"/>
          <w:szCs w:val="24"/>
          <w:lang w:eastAsia="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Аналогично в отношении продажи имущества, находящегося в совместной собственности;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 проценты по долговым обязательствам;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 возмещение вреда, причиненного увечьем или иным повреждением здоровья;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 выплаты, связанные с гибелью (смертью), выплаченные наследникам;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r:id="rId17" w:anchor="2053" w:history="1">
        <w:r w:rsidRPr="00645837">
          <w:rPr>
            <w:rFonts w:ascii="Times New Roman" w:eastAsia="Times New Roman" w:hAnsi="Times New Roman" w:cs="Times New Roman"/>
            <w:color w:val="0000FF"/>
            <w:sz w:val="24"/>
            <w:szCs w:val="24"/>
            <w:u w:val="single"/>
            <w:lang w:eastAsia="ru-RU"/>
          </w:rPr>
          <w:t>подпункте 3 пункта 205</w:t>
        </w:r>
      </w:hyperlink>
      <w:r w:rsidRPr="00645837">
        <w:rPr>
          <w:rFonts w:ascii="Times New Roman" w:eastAsia="Times New Roman" w:hAnsi="Times New Roman" w:cs="Times New Roman"/>
          <w:sz w:val="24"/>
          <w:szCs w:val="24"/>
          <w:lang w:eastAsia="ru-RU"/>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27) выплаты членам профсоюзных организаций, полученные от данных профсоюзных организаций;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29) вознаграждение, полученное при осуществлении опеки или попечительства на возмездной основе;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r:id="rId18" w:anchor="56" w:history="1">
        <w:r w:rsidRPr="00645837">
          <w:rPr>
            <w:rFonts w:ascii="Times New Roman" w:eastAsia="Times New Roman" w:hAnsi="Times New Roman" w:cs="Times New Roman"/>
            <w:color w:val="0000FF"/>
            <w:sz w:val="24"/>
            <w:szCs w:val="24"/>
            <w:u w:val="single"/>
            <w:lang w:eastAsia="ru-RU"/>
          </w:rPr>
          <w:t>пунктом 56</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32) денежные средства, полученные в качестве оплаты услуг или товаров, в том числе в качестве авансового платежа;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r:id="rId19" w:anchor="39" w:history="1">
        <w:r w:rsidRPr="00645837">
          <w:rPr>
            <w:rFonts w:ascii="Times New Roman" w:eastAsia="Times New Roman" w:hAnsi="Times New Roman" w:cs="Times New Roman"/>
            <w:color w:val="0000FF"/>
            <w:sz w:val="24"/>
            <w:szCs w:val="24"/>
            <w:u w:val="single"/>
            <w:lang w:eastAsia="ru-RU"/>
          </w:rPr>
          <w:t>пунктом 39</w:t>
        </w:r>
      </w:hyperlink>
      <w:r w:rsidRPr="00645837">
        <w:rPr>
          <w:rFonts w:ascii="Times New Roman" w:eastAsia="Times New Roman" w:hAnsi="Times New Roman" w:cs="Times New Roman"/>
          <w:sz w:val="24"/>
          <w:szCs w:val="24"/>
          <w:lang w:eastAsia="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35) доход, полученный по договорам переуступки прав требования на строящиеся объекты недвижимости;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37) выплаченная ликвидационная стоимость ценных бумаг при ликвидации коммерческой организации;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40) иные аналогичные выплаты.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74.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ежемесячная денежная выплата на ребенка в возрасте от 8 до 17 лет в соответствии Указом Президента Российской Федерации от 31 марта 2022 г. N 175;</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N 1036.</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75. Доход, полученный в иностранной валюте, указывается в рублях по курсу Банка России на дату получения дохода (с учетом положений </w:t>
      </w:r>
      <w:hyperlink r:id="rId20"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76.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77.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w:t>
      </w:r>
      <w:r w:rsidRPr="00645837">
        <w:rPr>
          <w:rFonts w:ascii="Times New Roman" w:eastAsia="Times New Roman" w:hAnsi="Times New Roman" w:cs="Times New Roman"/>
          <w:sz w:val="24"/>
          <w:szCs w:val="24"/>
          <w:lang w:eastAsia="ru-RU"/>
        </w:rPr>
        <w:lastRenderedPageBreak/>
        <w:t>понесенных служащим (работником), его супругой (супругом), несовершеннолетним ребенком, в том числе связанных: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со служебными командировками за счет средств работодателя;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с приобретением проездных документов для исполнения служебных (должностных) обязанностей;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с оплатой коммунальных и иных услуг, наймом жилого помещения;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с внесением родительской платы за посещение дошкольного образовательного учреждения;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79. Также не указываются сведения о денежных средствах, полученных: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в виде социального, имущественного, инвестиционного налогового вычета;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от продажи различного вида подарочных сертификатов (карт), выпущенных предприятиями торговли;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w:t>
      </w:r>
      <w:r w:rsidRPr="00645837">
        <w:rPr>
          <w:rFonts w:ascii="Times New Roman" w:eastAsia="Times New Roman" w:hAnsi="Times New Roman" w:cs="Times New Roman"/>
          <w:sz w:val="24"/>
          <w:szCs w:val="24"/>
          <w:lang w:eastAsia="ru-RU"/>
        </w:rPr>
        <w:lastRenderedPageBreak/>
        <w:t>виде денежных средств ("кешбэк сервис"), включая т.н. "туристический кешбэк", "детский кешбэк"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в качестве возврата налога на добавленную стоимость, уплаченного при совершении покупок за границей, по чекам Tax-free;</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в качестве вознаграждения донорам за сданную кровь, ее компонентов (и иную помощь);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в качестве возмещения расходов на повышение профессионального уровня за счет средств представителя нанимателя (работодателя);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21" w:anchor="39" w:history="1">
        <w:r w:rsidRPr="00645837">
          <w:rPr>
            <w:rFonts w:ascii="Times New Roman" w:eastAsia="Times New Roman" w:hAnsi="Times New Roman" w:cs="Times New Roman"/>
            <w:color w:val="0000FF"/>
            <w:sz w:val="24"/>
            <w:szCs w:val="24"/>
            <w:u w:val="single"/>
            <w:lang w:eastAsia="ru-RU"/>
          </w:rPr>
          <w:t>пунктом 39</w:t>
        </w:r>
      </w:hyperlink>
      <w:r w:rsidRPr="00645837">
        <w:rPr>
          <w:rFonts w:ascii="Times New Roman" w:eastAsia="Times New Roman" w:hAnsi="Times New Roman" w:cs="Times New Roman"/>
          <w:sz w:val="24"/>
          <w:szCs w:val="24"/>
          <w:lang w:eastAsia="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 в связи с возвратом денежных средств по несостоявшемуся договору купли-продажи;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 с учетом положений </w:t>
      </w:r>
      <w:hyperlink r:id="rId22" w:anchor="146" w:history="1">
        <w:r w:rsidRPr="00645837">
          <w:rPr>
            <w:rFonts w:ascii="Times New Roman" w:eastAsia="Times New Roman" w:hAnsi="Times New Roman" w:cs="Times New Roman"/>
            <w:color w:val="0000FF"/>
            <w:sz w:val="24"/>
            <w:szCs w:val="24"/>
            <w:u w:val="single"/>
            <w:lang w:eastAsia="ru-RU"/>
          </w:rPr>
          <w:t>пункта 146</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Раздел 2. Сведения о расходах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83. Данный раздел справки также подлежит заполнению при наличии обстоятельств, перечисленных в </w:t>
      </w:r>
      <w:hyperlink r:id="rId23" w:anchor="82" w:history="1">
        <w:r w:rsidRPr="00645837">
          <w:rPr>
            <w:rFonts w:ascii="Times New Roman" w:eastAsia="Times New Roman" w:hAnsi="Times New Roman" w:cs="Times New Roman"/>
            <w:color w:val="0000FF"/>
            <w:sz w:val="24"/>
            <w:szCs w:val="24"/>
            <w:u w:val="single"/>
            <w:lang w:eastAsia="ru-RU"/>
          </w:rPr>
          <w:t>пункте 82</w:t>
        </w:r>
      </w:hyperlink>
      <w:r w:rsidRPr="00645837">
        <w:rPr>
          <w:rFonts w:ascii="Times New Roman" w:eastAsia="Times New Roman" w:hAnsi="Times New Roman" w:cs="Times New Roman"/>
          <w:sz w:val="24"/>
          <w:szCs w:val="24"/>
          <w:lang w:eastAsia="ru-RU"/>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84. Граждане, поступающие на службу (работу), раздел 2 справки не заполняют.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85. Заполнение данного раздела при отсутствии указанных в </w:t>
      </w:r>
      <w:hyperlink r:id="rId24" w:anchor="82" w:history="1">
        <w:r w:rsidRPr="00645837">
          <w:rPr>
            <w:rFonts w:ascii="Times New Roman" w:eastAsia="Times New Roman" w:hAnsi="Times New Roman" w:cs="Times New Roman"/>
            <w:color w:val="0000FF"/>
            <w:sz w:val="24"/>
            <w:szCs w:val="24"/>
            <w:u w:val="single"/>
            <w:lang w:eastAsia="ru-RU"/>
          </w:rPr>
          <w:t>пункте 82</w:t>
        </w:r>
      </w:hyperlink>
      <w:r w:rsidRPr="00645837">
        <w:rPr>
          <w:rFonts w:ascii="Times New Roman" w:eastAsia="Times New Roman" w:hAnsi="Times New Roman" w:cs="Times New Roman"/>
          <w:sz w:val="24"/>
          <w:szCs w:val="24"/>
          <w:lang w:eastAsia="ru-RU"/>
        </w:rPr>
        <w:t xml:space="preserve"> настоящих Методических рекомендаций оснований не является нарушением.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w:t>
      </w:r>
      <w:r w:rsidRPr="00645837">
        <w:rPr>
          <w:rFonts w:ascii="Times New Roman" w:eastAsia="Times New Roman" w:hAnsi="Times New Roman" w:cs="Times New Roman"/>
          <w:sz w:val="24"/>
          <w:szCs w:val="24"/>
          <w:lang w:eastAsia="ru-RU"/>
        </w:rPr>
        <w:lastRenderedPageBreak/>
        <w:t>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87. Для цели реализации </w:t>
      </w:r>
      <w:hyperlink r:id="rId25" w:anchor="82" w:history="1">
        <w:r w:rsidRPr="00645837">
          <w:rPr>
            <w:rFonts w:ascii="Times New Roman" w:eastAsia="Times New Roman" w:hAnsi="Times New Roman" w:cs="Times New Roman"/>
            <w:color w:val="0000FF"/>
            <w:sz w:val="24"/>
            <w:szCs w:val="24"/>
            <w:u w:val="single"/>
            <w:lang w:eastAsia="ru-RU"/>
          </w:rPr>
          <w:t>пункта 82</w:t>
        </w:r>
      </w:hyperlink>
      <w:r w:rsidRPr="00645837">
        <w:rPr>
          <w:rFonts w:ascii="Times New Roman" w:eastAsia="Times New Roman" w:hAnsi="Times New Roman" w:cs="Times New Roman"/>
          <w:sz w:val="24"/>
          <w:szCs w:val="24"/>
          <w:lang w:eastAsia="ru-RU"/>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90. Данный раздел не заполняется в следующих случаях: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91.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96. Особенности заполнения раздела "Сведения о расходах":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w:t>
      </w:r>
      <w:r w:rsidRPr="00645837">
        <w:rPr>
          <w:rFonts w:ascii="Times New Roman" w:eastAsia="Times New Roman" w:hAnsi="Times New Roman" w:cs="Times New Roman"/>
          <w:sz w:val="24"/>
          <w:szCs w:val="24"/>
          <w:lang w:eastAsia="ru-RU"/>
        </w:rPr>
        <w:lastRenderedPageBreak/>
        <w:t>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lastRenderedPageBreak/>
        <w:t>Раздел 3. Сведения об имуществе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3.1 Недвижимое имущество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r:id="rId26" w:anchor="116" w:history="1">
        <w:r w:rsidRPr="00645837">
          <w:rPr>
            <w:rFonts w:ascii="Times New Roman" w:eastAsia="Times New Roman" w:hAnsi="Times New Roman" w:cs="Times New Roman"/>
            <w:color w:val="0000FF"/>
            <w:sz w:val="24"/>
            <w:szCs w:val="24"/>
            <w:u w:val="single"/>
            <w:lang w:eastAsia="ru-RU"/>
          </w:rPr>
          <w:t>пунктом 116</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r:id="rId27" w:anchor="116" w:history="1">
        <w:r w:rsidRPr="00645837">
          <w:rPr>
            <w:rFonts w:ascii="Times New Roman" w:eastAsia="Times New Roman" w:hAnsi="Times New Roman" w:cs="Times New Roman"/>
            <w:color w:val="0000FF"/>
            <w:sz w:val="24"/>
            <w:szCs w:val="24"/>
            <w:u w:val="single"/>
            <w:lang w:eastAsia="ru-RU"/>
          </w:rPr>
          <w:t>пунктом 116</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100.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w:t>
      </w:r>
      <w:r w:rsidRPr="00645837">
        <w:rPr>
          <w:rFonts w:ascii="Times New Roman" w:eastAsia="Times New Roman" w:hAnsi="Times New Roman" w:cs="Times New Roman"/>
          <w:sz w:val="24"/>
          <w:szCs w:val="24"/>
          <w:lang w:eastAsia="ru-RU"/>
        </w:rPr>
        <w:lastRenderedPageBreak/>
        <w:t>право собственности на которое не зарегистрировано в установленном порядке (не осуществлена регистрация в Росреестре).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Заполнение графы "Вид и наименование имущества"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106.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107.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108. В графе "Вид собственности" указывается вид собственности на имущество (индивидуальная, общая совместная, общая долевая).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109.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110.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111. Местонахождение (адрес) недвижимого имущества указывается согласно правоустанавливающим документам. При этом указывается: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субъект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район;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гор,од, иной населенный пункт (село, поселок и т.д.);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улица (проспект, переулок и т.д.);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номер дома (владения, участка), корпуса (строения), квартиры.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рекомендуется указывать индекс.</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112. Если недвижимое имущество находится за рубежом, то указывается: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наименование государства;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населенный пункт (иная единица административно-территориального деления);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почтовый адрес.</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Основание приобретения и источники средств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115.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116.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на лиц, замещающих (занимающих):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государственные должности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должности первого заместителя и заместителей Генерального прокурора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должности членов Совета директоров Центрального банка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государственные должности субъектов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должности заместителей руководителей федеральных органов исполнительной власти;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w:t>
      </w:r>
      <w:r w:rsidRPr="00645837">
        <w:rPr>
          <w:rFonts w:ascii="Times New Roman" w:eastAsia="Times New Roman" w:hAnsi="Times New Roman" w:cs="Times New Roman"/>
          <w:sz w:val="24"/>
          <w:szCs w:val="24"/>
          <w:lang w:eastAsia="ru-RU"/>
        </w:rPr>
        <w:lastRenderedPageBreak/>
        <w:t>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2) на супруг (супругов), несовершеннолетних детей лиц, указанных в </w:t>
      </w:r>
      <w:hyperlink r:id="rId28" w:anchor="11812" w:history="1">
        <w:r w:rsidRPr="00645837">
          <w:rPr>
            <w:rFonts w:ascii="Times New Roman" w:eastAsia="Times New Roman" w:hAnsi="Times New Roman" w:cs="Times New Roman"/>
            <w:color w:val="0000FF"/>
            <w:sz w:val="24"/>
            <w:szCs w:val="24"/>
            <w:u w:val="single"/>
            <w:lang w:eastAsia="ru-RU"/>
          </w:rPr>
          <w:t>абзацах втором-десятом подпункта 1</w:t>
        </w:r>
      </w:hyperlink>
      <w:r w:rsidRPr="00645837">
        <w:rPr>
          <w:rFonts w:ascii="Times New Roman" w:eastAsia="Times New Roman" w:hAnsi="Times New Roman" w:cs="Times New Roman"/>
          <w:sz w:val="24"/>
          <w:szCs w:val="24"/>
          <w:lang w:eastAsia="ru-RU"/>
        </w:rPr>
        <w:t xml:space="preserve"> настоящего пункта;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иных лиц в случаях, предусмотренных федеральными законами.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3.2. Транспортные средства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121.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w:t>
      </w:r>
      <w:r w:rsidRPr="00645837">
        <w:rPr>
          <w:rFonts w:ascii="Times New Roman" w:eastAsia="Times New Roman" w:hAnsi="Times New Roman" w:cs="Times New Roman"/>
          <w:sz w:val="24"/>
          <w:szCs w:val="24"/>
          <w:lang w:eastAsia="ru-RU"/>
        </w:rPr>
        <w:lastRenderedPageBreak/>
        <w:t>внутренних дел Российской Федерации, утвержденных постановлением Правительства Российской Федерации от 21 декабря 2019 г. N 1764).</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124.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допускается указание кода подразделения ГИБДД в соответствии со свидетельством о регистрации транспортного средства.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отсутствия регистрации допускается указать "Отсутствует".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125. Аналогичным подходом необходимо руководствоваться при указании в данном подразделе водного, воздушного транспорта.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126. В строке 7 "Иные транспортные средства" подлежат указанию, в частности, прицепы, зарегистрированные в установленном порядке.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3.3. Цифровые финансовые активы, цифровые права, включающие одновременно цифровые финансовые активы и иные цифровые права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127.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128.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129.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130.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131.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132.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3.4. Утилитарные цифровые права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134. 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w:t>
      </w:r>
      <w:r w:rsidRPr="00645837">
        <w:rPr>
          <w:rFonts w:ascii="Times New Roman" w:eastAsia="Times New Roman" w:hAnsi="Times New Roman" w:cs="Times New Roman"/>
          <w:sz w:val="24"/>
          <w:szCs w:val="24"/>
          <w:lang w:eastAsia="ru-RU"/>
        </w:rPr>
        <w:lastRenderedPageBreak/>
        <w:t>статьи 11 указанного Федерального закона, могут приобретаться, отчуждаться и осуществляться следующие цифровые права (утилитарные цифровые права):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право требовать передачи вещи (вещей) (например, право требования золота в слитках при инвестировании в добычу золота);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135.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136. В графе "Уникальное условное обозначение" указывается уникальное условное обозначение, идентифицирующее утилитарное цифровое право.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137. В графе "Дата приобретения" указывается дата приобретения утилитарного цифрового права.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138.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r:id="rId29"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139.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Реестр операторов инвестиционных платформ размещен на официальном сайте Банка России по ссылке: http://www.cbr.ru/vfs/registers/infr/list_invest_platform_op.xlsx.</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3.5. Цифровая валюта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140.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142. Примерами цифровой валюты являются: Биткоин (BTC), Эфириум (ETH), Тезер (USDT)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143.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144. В графе "Дата приобретения" указывается дата приобретения цифровой валюты.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"Дата приобретения" цифровой валюты может совпадать с датой транзакции, то есть с датой передачи цифровой валюты от одного лица другому.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145. В графе "Общее количество" указывается точное количество цифровой валюты, находящейся в собственности (без округления).</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Раздел 4. Сведения о счетах в банках и иных кредитных организациях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счета с нулевым остатком по состоянию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счета (вклады) в иностранных банках, расположенных за пределами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счета, открытые для погашения кредита;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вклады (счета) в драгоценных металлах (в том числе указывается вид счета и металл, в котором он открыт);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номинальный счет;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счет эскроу.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148. С учетом целей антикоррупционного законодательства Российской Федерации в данном разделе не указываются следующие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счета, закрытые по состоянию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публичные депозитные счета нотариуса;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счета доверительного управления;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45837">
        <w:rPr>
          <w:rFonts w:ascii="Times New Roman" w:eastAsia="Times New Roman" w:hAnsi="Times New Roman" w:cs="Times New Roman"/>
          <w:sz w:val="24"/>
          <w:szCs w:val="24"/>
          <w:lang w:eastAsia="ru-RU"/>
        </w:rPr>
        <w:lastRenderedPageBreak/>
        <w:t xml:space="preserve">отражению в подразделе 6.2 раздела 6 справки в случае, предусмотренном </w:t>
      </w:r>
      <w:hyperlink r:id="rId30" w:anchor="2054" w:history="1">
        <w:r w:rsidRPr="00645837">
          <w:rPr>
            <w:rFonts w:ascii="Times New Roman" w:eastAsia="Times New Roman" w:hAnsi="Times New Roman" w:cs="Times New Roman"/>
            <w:color w:val="0000FF"/>
            <w:sz w:val="24"/>
            <w:szCs w:val="24"/>
            <w:u w:val="single"/>
            <w:lang w:eastAsia="ru-RU"/>
          </w:rPr>
          <w:t>подпунктом 4 пункта 205</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синтетические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N 5798-У.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150.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151.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152. В соответствии с указанной Инструкцией и с учетом </w:t>
      </w:r>
      <w:hyperlink r:id="rId31" w:anchor="147" w:history="1">
        <w:r w:rsidRPr="00645837">
          <w:rPr>
            <w:rFonts w:ascii="Times New Roman" w:eastAsia="Times New Roman" w:hAnsi="Times New Roman" w:cs="Times New Roman"/>
            <w:color w:val="0000FF"/>
            <w:sz w:val="24"/>
            <w:szCs w:val="24"/>
            <w:u w:val="single"/>
            <w:lang w:eastAsia="ru-RU"/>
          </w:rPr>
          <w:t>пунктов 147</w:t>
        </w:r>
      </w:hyperlink>
      <w:r w:rsidRPr="00645837">
        <w:rPr>
          <w:rFonts w:ascii="Times New Roman" w:eastAsia="Times New Roman" w:hAnsi="Times New Roman" w:cs="Times New Roman"/>
          <w:sz w:val="24"/>
          <w:szCs w:val="24"/>
          <w:lang w:eastAsia="ru-RU"/>
        </w:rPr>
        <w:t xml:space="preserve"> и </w:t>
      </w:r>
      <w:hyperlink r:id="rId32" w:anchor="148" w:history="1">
        <w:r w:rsidRPr="00645837">
          <w:rPr>
            <w:rFonts w:ascii="Times New Roman" w:eastAsia="Times New Roman" w:hAnsi="Times New Roman" w:cs="Times New Roman"/>
            <w:color w:val="0000FF"/>
            <w:sz w:val="24"/>
            <w:szCs w:val="24"/>
            <w:u w:val="single"/>
            <w:lang w:eastAsia="ru-RU"/>
          </w:rPr>
          <w:t>148</w:t>
        </w:r>
      </w:hyperlink>
      <w:r w:rsidRPr="00645837">
        <w:rPr>
          <w:rFonts w:ascii="Times New Roman" w:eastAsia="Times New Roman" w:hAnsi="Times New Roman" w:cs="Times New Roman"/>
          <w:sz w:val="24"/>
          <w:szCs w:val="24"/>
          <w:lang w:eastAsia="ru-RU"/>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153. В графе "Дата открытия счета" не допускается указание даты выпуска (перевыпуска) платежной карты.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154. Графа "Остаток на счете" заполняется по состоянию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счетов в иностранной валюте остаток указывается в рублях по курсу Банка России на отчетную дату (с учетом положений </w:t>
      </w:r>
      <w:hyperlink r:id="rId33"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155. Графа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 счету в драгоценных металлах данная графа не заполняется.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w:t>
      </w:r>
      <w:r w:rsidRPr="00645837">
        <w:rPr>
          <w:rFonts w:ascii="Times New Roman" w:eastAsia="Times New Roman" w:hAnsi="Times New Roman" w:cs="Times New Roman"/>
          <w:sz w:val="24"/>
          <w:szCs w:val="24"/>
          <w:lang w:eastAsia="ru-RU"/>
        </w:rPr>
        <w:lastRenderedPageBreak/>
        <w:t>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лиц, указанных в </w:t>
      </w:r>
      <w:hyperlink r:id="rId34" w:anchor="2" w:history="1">
        <w:r w:rsidRPr="00645837">
          <w:rPr>
            <w:rFonts w:ascii="Times New Roman" w:eastAsia="Times New Roman" w:hAnsi="Times New Roman" w:cs="Times New Roman"/>
            <w:color w:val="0000FF"/>
            <w:sz w:val="24"/>
            <w:szCs w:val="24"/>
            <w:u w:val="single"/>
            <w:lang w:eastAsia="ru-RU"/>
          </w:rPr>
          <w:t>пункте 2</w:t>
        </w:r>
      </w:hyperlink>
      <w:r w:rsidRPr="00645837">
        <w:rPr>
          <w:rFonts w:ascii="Times New Roman" w:eastAsia="Times New Roman" w:hAnsi="Times New Roman" w:cs="Times New Roman"/>
          <w:sz w:val="24"/>
          <w:szCs w:val="24"/>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счетов в иностранной валюте сумма указывается в рублях по курсу Банка России на отчетную дату (с учетом положений </w:t>
      </w:r>
      <w:hyperlink r:id="rId35"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Совместный счет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данном случае в каждой подаваемой справке представляется идентичная информация о таком счете.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Кредитные карты, карты с овердрафтом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157. Банк (иная кредитная организация) выпускает следующие виды карт (таблица 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7819"/>
      </w:tblGrid>
      <w:tr w:rsidR="00645837" w:rsidRPr="00645837" w:rsidTr="00645837">
        <w:trPr>
          <w:tblCellSpacing w:w="15" w:type="dxa"/>
        </w:trPr>
        <w:tc>
          <w:tcPr>
            <w:tcW w:w="0" w:type="auto"/>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Расчетная (дебетовая) </w:t>
            </w:r>
          </w:p>
        </w:tc>
        <w:tc>
          <w:tcPr>
            <w:tcW w:w="0" w:type="auto"/>
            <w:hideMark/>
          </w:tcPr>
          <w:p w:rsidR="00645837" w:rsidRPr="00645837" w:rsidRDefault="00645837" w:rsidP="00645837">
            <w:pPr>
              <w:spacing w:after="0" w:line="240" w:lineRule="auto"/>
              <w:jc w:val="center"/>
              <w:rPr>
                <w:rFonts w:ascii="Times New Roman" w:eastAsia="Times New Roman" w:hAnsi="Times New Roman" w:cs="Times New Roman"/>
                <w:b/>
                <w:bCs/>
                <w:sz w:val="24"/>
                <w:szCs w:val="24"/>
                <w:lang w:eastAsia="ru-RU"/>
              </w:rPr>
            </w:pPr>
            <w:r w:rsidRPr="00645837">
              <w:rPr>
                <w:rFonts w:ascii="Times New Roman" w:eastAsia="Times New Roman" w:hAnsi="Times New Roman" w:cs="Times New Roman"/>
                <w:b/>
                <w:bCs/>
                <w:sz w:val="24"/>
                <w:szCs w:val="24"/>
                <w:lang w:eastAsia="ru-RU"/>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 </w:t>
            </w:r>
          </w:p>
        </w:tc>
      </w:tr>
      <w:tr w:rsidR="00645837" w:rsidRPr="00645837" w:rsidTr="00645837">
        <w:trPr>
          <w:tblCellSpacing w:w="15" w:type="dxa"/>
        </w:trPr>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Кредитная </w:t>
            </w:r>
          </w:p>
        </w:tc>
        <w:tc>
          <w:tcPr>
            <w:tcW w:w="0" w:type="auto"/>
            <w:hideMark/>
          </w:tcPr>
          <w:p w:rsidR="00645837" w:rsidRPr="00645837" w:rsidRDefault="00645837" w:rsidP="00645837">
            <w:pPr>
              <w:spacing w:after="0"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 </w:t>
            </w:r>
          </w:p>
        </w:tc>
      </w:tr>
    </w:tbl>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158. Расчетная (дебетовая) и, как правило, кредитные карты предполагают открытие и ведение банком (иной кредитной организацией)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w:t>
      </w:r>
      <w:r w:rsidRPr="00645837">
        <w:rPr>
          <w:rFonts w:ascii="Times New Roman" w:eastAsia="Times New Roman" w:hAnsi="Times New Roman" w:cs="Times New Roman"/>
          <w:sz w:val="24"/>
          <w:szCs w:val="24"/>
          <w:lang w:eastAsia="ru-RU"/>
        </w:rPr>
        <w:lastRenderedPageBreak/>
        <w:t>открываться банковские счета, которые могут предусматривать необходимость отражения сведений о них в настоящем разделе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приоритет рекомендуется отдавать информации, полученной в рамках Указания Банка России N 5798-У.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164. В данном разделе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Отзыв лицензии у кредитной организации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165.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167. До момента закрытия соответствующего счета, счет считается открытым и подлежит отражению в разделе 4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Ликвидация кредитной организации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Раздел 5. Сведения о ценных бумагах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Государственный сертификат на материнский (семейный) капитал не является ценной бумагой и не подлежит указанию в разделе 5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5.1. Акции и иное участие в коммерческих организациях и фондах</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172.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173.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r:id="rId36"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Если законодательством не предусмотрено формирование уставного капитала, то указывается "0 руб.".</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r:id="rId37"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177.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5.2. Иные ценные бумаги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178.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179. 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w:t>
      </w:r>
      <w:r w:rsidRPr="00645837">
        <w:rPr>
          <w:rFonts w:ascii="Times New Roman" w:eastAsia="Times New Roman" w:hAnsi="Times New Roman" w:cs="Times New Roman"/>
          <w:sz w:val="24"/>
          <w:szCs w:val="24"/>
          <w:lang w:eastAsia="ru-RU"/>
        </w:rPr>
        <w:lastRenderedPageBreak/>
        <w:t>(инвестиционный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180.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r:id="rId38"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Раздел 6. Сведения об обязательствах имущественного характера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6.1. Объекты недвижимого имущества, находящиеся в пользовании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182.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183.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w:t>
      </w:r>
      <w:r w:rsidRPr="00645837">
        <w:rPr>
          <w:rFonts w:ascii="Times New Roman" w:eastAsia="Times New Roman" w:hAnsi="Times New Roman" w:cs="Times New Roman"/>
          <w:sz w:val="24"/>
          <w:szCs w:val="24"/>
          <w:lang w:eastAsia="ru-RU"/>
        </w:rPr>
        <w:lastRenderedPageBreak/>
        <w:t>(или)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отсутствует фактическое пользование этим объектом супругом;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эти объекты указаны в подразделе 3.1 раздела 3 соответствующей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Аналогично в отношении несовершеннолетних детей.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184.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185. В том числе указанию подлежат сведения о жилом помещении (дом, квартира, комната), нежилом помещении, земельном участке, гараже и т.д.:</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занимаемых по договору аренды (найма, поднайма);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занимаемых по договорам социального найма;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принадлежащих на праве пожизненного наследуемого владения земельным участком;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186. Отражению подлежит также, например, земельный участок, на котором расположен частный дом, находящийся в пользовании.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187. При этом указывается общая площадь объекта недвижимого имущества, находящегося в пользовании.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188. Сведения об объектах недвижимого имущества, находящихся в пользовании, указываются по состоянию на отчетную дату.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189. В графе "Вид имущества" указывается вид недвижимого имущества (земельный участок, жилой дом, дача, квартира, комната и др.).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190. В графе "Вид и сроки пользования" указываются вид пользования (аренда, безвозмездное пользование и др.) и сроки пользования.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192. В данном подразделе не указывается недвижимое имущество, которое находится в собственности и уже отражено в подразделе 3.1 раздела 3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этом данные доли собственности должны быть отражены в подразделе 3.1. раздела 3 справок служащего (работника) и его супруги (супруга).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Аналогично в отношении несовершеннолетних детей.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194. Графа "Площадь (кв. м)" заполняется на основании правоустанавливающих документов, а в случае их отсутствия - исходя из фактических значений.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Подраздел 6.2. Срочные обязательства финансового характера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195.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w:t>
      </w:r>
      <w:r w:rsidRPr="00645837">
        <w:rPr>
          <w:rFonts w:ascii="Times New Roman" w:eastAsia="Times New Roman" w:hAnsi="Times New Roman" w:cs="Times New Roman"/>
          <w:sz w:val="24"/>
          <w:szCs w:val="24"/>
          <w:lang w:eastAsia="ru-RU"/>
        </w:rPr>
        <w:lastRenderedPageBreak/>
        <w:t>кредитором или должником по которому является служащий (работник), его супруга (супруг), несовершеннолетний ребенок.</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Данный подраздел также подлежит заполнению в случае, если лицо, в отношении которого представляются Сведения, является созаемщиком.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196.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Например,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199. В графе "Сумма обязательства / размер обязательства по состоянию на отчетную дату" указываются: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r:id="rId39"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202. Помимо прочего подлежат указанию: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договор финансовой аренды (лизинг);</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договор займа;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договор финансирования под уступку денежного требования;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5) обязательства, связанные с заключением договора об уступке права требования;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6) обязательства вследствие причинения вреда (финансовые);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10) выкупленная дебиторская задолженность;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12) предоставленные брокером займы (т.н. "маржинальные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13) обязательства по незакрытым сделкам РЕПО и СВОП (у клиента имеются требования и обязательства по этим сделкам);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14) фьючерсный договор;</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15) иные обязательства, в том числе установленные решением суда.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203. При этом в данном подразделе не указываются, например, договор срочного банковского вклада.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204.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N 5798-У.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205. Отдельные виды срочных обязательств финансового характера: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Данный порядок применяется также в случае использования счетов эскроу.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w:t>
      </w:r>
      <w:r w:rsidRPr="00645837">
        <w:rPr>
          <w:rFonts w:ascii="Times New Roman" w:eastAsia="Times New Roman" w:hAnsi="Times New Roman" w:cs="Times New Roman"/>
          <w:sz w:val="24"/>
          <w:szCs w:val="24"/>
          <w:lang w:eastAsia="ru-RU"/>
        </w:rPr>
        <w:lastRenderedPageBreak/>
        <w:t>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Справку рекомендуется заполнять с учетом сведений, полученных от страховщика в рамках Указания Банка России N 5798-У.</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r:id="rId40"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5837">
        <w:rPr>
          <w:rFonts w:ascii="Times New Roman" w:eastAsia="Times New Roman" w:hAnsi="Times New Roman" w:cs="Times New Roman"/>
          <w:b/>
          <w:bCs/>
          <w:sz w:val="27"/>
          <w:szCs w:val="27"/>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206.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209. Уничтоженные объекты имущества не подлежат отражению в данном разделе справки.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210. Договор мены не подлежит отражению в данном разделе справки, так как он является возмездным.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211.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212. Каждый объект безвозмездной сделки указывается отдельно.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213.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41" w:anchor="103" w:history="1">
        <w:r w:rsidRPr="00645837">
          <w:rPr>
            <w:rFonts w:ascii="Times New Roman" w:eastAsia="Times New Roman" w:hAnsi="Times New Roman" w:cs="Times New Roman"/>
            <w:color w:val="0000FF"/>
            <w:sz w:val="24"/>
            <w:szCs w:val="24"/>
            <w:u w:val="single"/>
            <w:lang w:eastAsia="ru-RU"/>
          </w:rPr>
          <w:t>пунктом 103</w:t>
        </w:r>
      </w:hyperlink>
      <w:r w:rsidRPr="00645837">
        <w:rPr>
          <w:rFonts w:ascii="Times New Roman" w:eastAsia="Times New Roman" w:hAnsi="Times New Roman" w:cs="Times New Roman"/>
          <w:sz w:val="24"/>
          <w:szCs w:val="24"/>
          <w:lang w:eastAsia="ru-RU"/>
        </w:rPr>
        <w:t xml:space="preserve"> настоящих Методических рекомендаций), местонахождение (адрес) в соответствии с </w:t>
      </w:r>
      <w:hyperlink r:id="rId42" w:anchor="111" w:history="1">
        <w:r w:rsidRPr="00645837">
          <w:rPr>
            <w:rFonts w:ascii="Times New Roman" w:eastAsia="Times New Roman" w:hAnsi="Times New Roman" w:cs="Times New Roman"/>
            <w:color w:val="0000FF"/>
            <w:sz w:val="24"/>
            <w:szCs w:val="24"/>
            <w:u w:val="single"/>
            <w:lang w:eastAsia="ru-RU"/>
          </w:rPr>
          <w:t>пунктами 111</w:t>
        </w:r>
      </w:hyperlink>
      <w:r w:rsidRPr="00645837">
        <w:rPr>
          <w:rFonts w:ascii="Times New Roman" w:eastAsia="Times New Roman" w:hAnsi="Times New Roman" w:cs="Times New Roman"/>
          <w:sz w:val="24"/>
          <w:szCs w:val="24"/>
          <w:lang w:eastAsia="ru-RU"/>
        </w:rPr>
        <w:t xml:space="preserve"> и </w:t>
      </w:r>
      <w:hyperlink r:id="rId43" w:anchor="112" w:history="1">
        <w:r w:rsidRPr="00645837">
          <w:rPr>
            <w:rFonts w:ascii="Times New Roman" w:eastAsia="Times New Roman" w:hAnsi="Times New Roman" w:cs="Times New Roman"/>
            <w:color w:val="0000FF"/>
            <w:sz w:val="24"/>
            <w:szCs w:val="24"/>
            <w:u w:val="single"/>
            <w:lang w:eastAsia="ru-RU"/>
          </w:rPr>
          <w:t>112</w:t>
        </w:r>
      </w:hyperlink>
      <w:r w:rsidRPr="00645837">
        <w:rPr>
          <w:rFonts w:ascii="Times New Roman" w:eastAsia="Times New Roman" w:hAnsi="Times New Roman" w:cs="Times New Roman"/>
          <w:sz w:val="24"/>
          <w:szCs w:val="24"/>
          <w:lang w:eastAsia="ru-RU"/>
        </w:rPr>
        <w:t xml:space="preserve"> настоящих Методических рекомендаций, площадь (кв. м) в соответствии с </w:t>
      </w:r>
      <w:hyperlink r:id="rId44" w:anchor="113" w:history="1">
        <w:r w:rsidRPr="00645837">
          <w:rPr>
            <w:rFonts w:ascii="Times New Roman" w:eastAsia="Times New Roman" w:hAnsi="Times New Roman" w:cs="Times New Roman"/>
            <w:color w:val="0000FF"/>
            <w:sz w:val="24"/>
            <w:szCs w:val="24"/>
            <w:u w:val="single"/>
            <w:lang w:eastAsia="ru-RU"/>
          </w:rPr>
          <w:t>пунктом 113</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214. В строке "Транспортные средства" рекомендуется указывать вид, марку, модель транспортного средства, год изготовления, место регистрации.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215.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r:id="rId45" w:anchor="50" w:history="1">
        <w:r w:rsidRPr="00645837">
          <w:rPr>
            <w:rFonts w:ascii="Times New Roman" w:eastAsia="Times New Roman" w:hAnsi="Times New Roman" w:cs="Times New Roman"/>
            <w:color w:val="0000FF"/>
            <w:sz w:val="24"/>
            <w:szCs w:val="24"/>
            <w:u w:val="single"/>
            <w:lang w:eastAsia="ru-RU"/>
          </w:rPr>
          <w:t>пункта 50</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46" w:anchor="172" w:history="1">
        <w:r w:rsidRPr="00645837">
          <w:rPr>
            <w:rFonts w:ascii="Times New Roman" w:eastAsia="Times New Roman" w:hAnsi="Times New Roman" w:cs="Times New Roman"/>
            <w:color w:val="0000FF"/>
            <w:sz w:val="24"/>
            <w:szCs w:val="24"/>
            <w:u w:val="single"/>
            <w:lang w:eastAsia="ru-RU"/>
          </w:rPr>
          <w:t>пунктом 172</w:t>
        </w:r>
      </w:hyperlink>
      <w:r w:rsidRPr="00645837">
        <w:rPr>
          <w:rFonts w:ascii="Times New Roman" w:eastAsia="Times New Roman" w:hAnsi="Times New Roman" w:cs="Times New Roman"/>
          <w:sz w:val="24"/>
          <w:szCs w:val="24"/>
          <w:lang w:eastAsia="ru-RU"/>
        </w:rPr>
        <w:t xml:space="preserve"> настоящих Методических рекомендаций, местонахождение организации (адрес) в соответствии с </w:t>
      </w:r>
      <w:hyperlink r:id="rId47" w:anchor="173" w:history="1">
        <w:r w:rsidRPr="00645837">
          <w:rPr>
            <w:rFonts w:ascii="Times New Roman" w:eastAsia="Times New Roman" w:hAnsi="Times New Roman" w:cs="Times New Roman"/>
            <w:color w:val="0000FF"/>
            <w:sz w:val="24"/>
            <w:szCs w:val="24"/>
            <w:u w:val="single"/>
            <w:lang w:eastAsia="ru-RU"/>
          </w:rPr>
          <w:t>пунктом 173</w:t>
        </w:r>
      </w:hyperlink>
      <w:r w:rsidRPr="00645837">
        <w:rPr>
          <w:rFonts w:ascii="Times New Roman" w:eastAsia="Times New Roman" w:hAnsi="Times New Roman" w:cs="Times New Roman"/>
          <w:sz w:val="24"/>
          <w:szCs w:val="24"/>
          <w:lang w:eastAsia="ru-RU"/>
        </w:rPr>
        <w:t xml:space="preserve"> настоящих Методических рекомендаций, уставный капитал в соответствии с </w:t>
      </w:r>
      <w:hyperlink r:id="rId48" w:anchor="174" w:history="1">
        <w:r w:rsidRPr="00645837">
          <w:rPr>
            <w:rFonts w:ascii="Times New Roman" w:eastAsia="Times New Roman" w:hAnsi="Times New Roman" w:cs="Times New Roman"/>
            <w:color w:val="0000FF"/>
            <w:sz w:val="24"/>
            <w:szCs w:val="24"/>
            <w:u w:val="single"/>
            <w:lang w:eastAsia="ru-RU"/>
          </w:rPr>
          <w:t>пунктом 174</w:t>
        </w:r>
      </w:hyperlink>
      <w:r w:rsidRPr="00645837">
        <w:rPr>
          <w:rFonts w:ascii="Times New Roman" w:eastAsia="Times New Roman" w:hAnsi="Times New Roman" w:cs="Times New Roman"/>
          <w:sz w:val="24"/>
          <w:szCs w:val="24"/>
          <w:lang w:eastAsia="ru-RU"/>
        </w:rPr>
        <w:t xml:space="preserve"> настоящих Методических рекомендаций, доли участия в соответствии с </w:t>
      </w:r>
      <w:hyperlink r:id="rId49" w:anchor="175" w:history="1">
        <w:r w:rsidRPr="00645837">
          <w:rPr>
            <w:rFonts w:ascii="Times New Roman" w:eastAsia="Times New Roman" w:hAnsi="Times New Roman" w:cs="Times New Roman"/>
            <w:color w:val="0000FF"/>
            <w:sz w:val="24"/>
            <w:szCs w:val="24"/>
            <w:u w:val="single"/>
            <w:lang w:eastAsia="ru-RU"/>
          </w:rPr>
          <w:t>пунктом 175</w:t>
        </w:r>
      </w:hyperlink>
      <w:r w:rsidRPr="00645837">
        <w:rPr>
          <w:rFonts w:ascii="Times New Roman" w:eastAsia="Times New Roman" w:hAnsi="Times New Roman" w:cs="Times New Roman"/>
          <w:sz w:val="24"/>
          <w:szCs w:val="24"/>
          <w:lang w:eastAsia="ru-RU"/>
        </w:rPr>
        <w:t xml:space="preserve"> настоящих Методических рекомендаций.</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lastRenderedPageBreak/>
        <w:t>216.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217.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218. В строке "Утилитарные цифровые права" рекомендуется указывать уникальное условное обозначение, идентифицирующее утилитарное цифровое право.</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219.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220.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645837" w:rsidRPr="00645837" w:rsidRDefault="00645837" w:rsidP="00645837">
      <w:pPr>
        <w:spacing w:before="100" w:beforeAutospacing="1" w:after="100" w:afterAutospacing="1" w:line="240" w:lineRule="auto"/>
        <w:rPr>
          <w:rFonts w:ascii="Times New Roman" w:eastAsia="Times New Roman" w:hAnsi="Times New Roman" w:cs="Times New Roman"/>
          <w:sz w:val="24"/>
          <w:szCs w:val="24"/>
          <w:lang w:eastAsia="ru-RU"/>
        </w:rPr>
      </w:pPr>
      <w:r w:rsidRPr="00645837">
        <w:rPr>
          <w:rFonts w:ascii="Times New Roman" w:eastAsia="Times New Roman" w:hAnsi="Times New Roman" w:cs="Times New Roman"/>
          <w:sz w:val="24"/>
          <w:szCs w:val="24"/>
          <w:lang w:eastAsia="ru-RU"/>
        </w:rPr>
        <w:t>221.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E625B" w:rsidRDefault="006E625B"/>
    <w:sectPr w:rsidR="006E6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9F"/>
    <w:rsid w:val="005C219F"/>
    <w:rsid w:val="00645837"/>
    <w:rsid w:val="006E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629B"/>
  <w15:chartTrackingRefBased/>
  <w15:docId w15:val="{BD760CC1-B291-4297-AF9C-BB93BDF1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45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8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8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83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45837"/>
  </w:style>
  <w:style w:type="paragraph" w:customStyle="1" w:styleId="msonormal0">
    <w:name w:val="msonormal"/>
    <w:basedOn w:val="a"/>
    <w:rsid w:val="00645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5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837"/>
    <w:rPr>
      <w:color w:val="0000FF"/>
      <w:u w:val="single"/>
    </w:rPr>
  </w:style>
  <w:style w:type="character" w:styleId="a5">
    <w:name w:val="FollowedHyperlink"/>
    <w:basedOn w:val="a0"/>
    <w:uiPriority w:val="99"/>
    <w:semiHidden/>
    <w:unhideWhenUsed/>
    <w:rsid w:val="006458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75944">
      <w:bodyDiv w:val="1"/>
      <w:marLeft w:val="0"/>
      <w:marRight w:val="0"/>
      <w:marTop w:val="0"/>
      <w:marBottom w:val="0"/>
      <w:divBdr>
        <w:top w:val="none" w:sz="0" w:space="0" w:color="auto"/>
        <w:left w:val="none" w:sz="0" w:space="0" w:color="auto"/>
        <w:bottom w:val="none" w:sz="0" w:space="0" w:color="auto"/>
        <w:right w:val="none" w:sz="0" w:space="0" w:color="auto"/>
      </w:divBdr>
      <w:divsChild>
        <w:div w:id="637613006">
          <w:marLeft w:val="0"/>
          <w:marRight w:val="0"/>
          <w:marTop w:val="0"/>
          <w:marBottom w:val="0"/>
          <w:divBdr>
            <w:top w:val="none" w:sz="0" w:space="0" w:color="auto"/>
            <w:left w:val="none" w:sz="0" w:space="0" w:color="auto"/>
            <w:bottom w:val="none" w:sz="0" w:space="0" w:color="auto"/>
            <w:right w:val="none" w:sz="0" w:space="0" w:color="auto"/>
          </w:divBdr>
        </w:div>
        <w:div w:id="573052955">
          <w:marLeft w:val="0"/>
          <w:marRight w:val="0"/>
          <w:marTop w:val="0"/>
          <w:marBottom w:val="0"/>
          <w:divBdr>
            <w:top w:val="none" w:sz="0" w:space="0" w:color="auto"/>
            <w:left w:val="none" w:sz="0" w:space="0" w:color="auto"/>
            <w:bottom w:val="none" w:sz="0" w:space="0" w:color="auto"/>
            <w:right w:val="none" w:sz="0" w:space="0" w:color="auto"/>
          </w:divBdr>
        </w:div>
      </w:divsChild>
    </w:div>
    <w:div w:id="1882866495">
      <w:bodyDiv w:val="1"/>
      <w:marLeft w:val="0"/>
      <w:marRight w:val="0"/>
      <w:marTop w:val="0"/>
      <w:marBottom w:val="0"/>
      <w:divBdr>
        <w:top w:val="none" w:sz="0" w:space="0" w:color="auto"/>
        <w:left w:val="none" w:sz="0" w:space="0" w:color="auto"/>
        <w:bottom w:val="none" w:sz="0" w:space="0" w:color="auto"/>
        <w:right w:val="none" w:sz="0" w:space="0" w:color="auto"/>
      </w:divBdr>
      <w:divsChild>
        <w:div w:id="642855547">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0"/>
              <w:marTop w:val="0"/>
              <w:marBottom w:val="0"/>
              <w:divBdr>
                <w:top w:val="none" w:sz="0" w:space="0" w:color="auto"/>
                <w:left w:val="none" w:sz="0" w:space="0" w:color="auto"/>
                <w:bottom w:val="none" w:sz="0" w:space="0" w:color="auto"/>
                <w:right w:val="none" w:sz="0" w:space="0" w:color="auto"/>
              </w:divBdr>
              <w:divsChild>
                <w:div w:id="617688535">
                  <w:marLeft w:val="0"/>
                  <w:marRight w:val="0"/>
                  <w:marTop w:val="0"/>
                  <w:marBottom w:val="0"/>
                  <w:divBdr>
                    <w:top w:val="none" w:sz="0" w:space="0" w:color="auto"/>
                    <w:left w:val="none" w:sz="0" w:space="0" w:color="auto"/>
                    <w:bottom w:val="none" w:sz="0" w:space="0" w:color="auto"/>
                    <w:right w:val="none" w:sz="0" w:space="0" w:color="auto"/>
                  </w:divBdr>
                </w:div>
                <w:div w:id="2100833143">
                  <w:marLeft w:val="0"/>
                  <w:marRight w:val="0"/>
                  <w:marTop w:val="0"/>
                  <w:marBottom w:val="0"/>
                  <w:divBdr>
                    <w:top w:val="none" w:sz="0" w:space="0" w:color="auto"/>
                    <w:left w:val="none" w:sz="0" w:space="0" w:color="auto"/>
                    <w:bottom w:val="none" w:sz="0" w:space="0" w:color="auto"/>
                    <w:right w:val="none" w:sz="0" w:space="0" w:color="auto"/>
                  </w:divBdr>
                  <w:divsChild>
                    <w:div w:id="782185961">
                      <w:marLeft w:val="0"/>
                      <w:marRight w:val="0"/>
                      <w:marTop w:val="0"/>
                      <w:marBottom w:val="0"/>
                      <w:divBdr>
                        <w:top w:val="none" w:sz="0" w:space="0" w:color="auto"/>
                        <w:left w:val="none" w:sz="0" w:space="0" w:color="auto"/>
                        <w:bottom w:val="none" w:sz="0" w:space="0" w:color="auto"/>
                        <w:right w:val="none" w:sz="0" w:space="0" w:color="auto"/>
                      </w:divBdr>
                    </w:div>
                    <w:div w:id="14212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3610">
          <w:marLeft w:val="0"/>
          <w:marRight w:val="0"/>
          <w:marTop w:val="0"/>
          <w:marBottom w:val="0"/>
          <w:divBdr>
            <w:top w:val="none" w:sz="0" w:space="0" w:color="auto"/>
            <w:left w:val="none" w:sz="0" w:space="0" w:color="auto"/>
            <w:bottom w:val="none" w:sz="0" w:space="0" w:color="auto"/>
            <w:right w:val="none" w:sz="0" w:space="0" w:color="auto"/>
          </w:divBdr>
          <w:divsChild>
            <w:div w:id="2140996366">
              <w:marLeft w:val="0"/>
              <w:marRight w:val="0"/>
              <w:marTop w:val="0"/>
              <w:marBottom w:val="0"/>
              <w:divBdr>
                <w:top w:val="none" w:sz="0" w:space="0" w:color="auto"/>
                <w:left w:val="none" w:sz="0" w:space="0" w:color="auto"/>
                <w:bottom w:val="none" w:sz="0" w:space="0" w:color="auto"/>
                <w:right w:val="none" w:sz="0" w:space="0" w:color="auto"/>
              </w:divBdr>
              <w:divsChild>
                <w:div w:id="9946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5967263/?ysclid=ljm59x91w2859520507" TargetMode="External"/><Relationship Id="rId18" Type="http://schemas.openxmlformats.org/officeDocument/2006/relationships/hyperlink" Target="https://www.garant.ru/products/ipo/prime/doc/405967263/?ysclid=ljm59x91w2859520507" TargetMode="External"/><Relationship Id="rId26" Type="http://schemas.openxmlformats.org/officeDocument/2006/relationships/hyperlink" Target="https://www.garant.ru/products/ipo/prime/doc/405967263/?ysclid=ljm59x91w2859520507" TargetMode="External"/><Relationship Id="rId39" Type="http://schemas.openxmlformats.org/officeDocument/2006/relationships/hyperlink" Target="https://www.garant.ru/products/ipo/prime/doc/405967263/?ysclid=ljm59x91w2859520507" TargetMode="External"/><Relationship Id="rId3" Type="http://schemas.openxmlformats.org/officeDocument/2006/relationships/webSettings" Target="webSettings.xml"/><Relationship Id="rId21" Type="http://schemas.openxmlformats.org/officeDocument/2006/relationships/hyperlink" Target="https://www.garant.ru/products/ipo/prime/doc/405967263/?ysclid=ljm59x91w2859520507" TargetMode="External"/><Relationship Id="rId34" Type="http://schemas.openxmlformats.org/officeDocument/2006/relationships/hyperlink" Target="https://www.garant.ru/products/ipo/prime/doc/405967263/?ysclid=ljm59x91w2859520507" TargetMode="External"/><Relationship Id="rId42" Type="http://schemas.openxmlformats.org/officeDocument/2006/relationships/hyperlink" Target="https://www.garant.ru/products/ipo/prime/doc/405967263/?ysclid=ljm59x91w2859520507" TargetMode="External"/><Relationship Id="rId47" Type="http://schemas.openxmlformats.org/officeDocument/2006/relationships/hyperlink" Target="https://www.garant.ru/products/ipo/prime/doc/405967263/?ysclid=ljm59x91w2859520507" TargetMode="External"/><Relationship Id="rId50" Type="http://schemas.openxmlformats.org/officeDocument/2006/relationships/fontTable" Target="fontTable.xml"/><Relationship Id="rId7" Type="http://schemas.openxmlformats.org/officeDocument/2006/relationships/hyperlink" Target="https://www.garant.ru/products/ipo/prime/doc/405967263/?ysclid=ljm59x91w2859520507" TargetMode="External"/><Relationship Id="rId12" Type="http://schemas.openxmlformats.org/officeDocument/2006/relationships/hyperlink" Target="https://www.garant.ru/products/ipo/prime/doc/405967263/?ysclid=ljm59x91w2859520507" TargetMode="External"/><Relationship Id="rId17" Type="http://schemas.openxmlformats.org/officeDocument/2006/relationships/hyperlink" Target="https://www.garant.ru/products/ipo/prime/doc/405967263/?ysclid=ljm59x91w2859520507" TargetMode="External"/><Relationship Id="rId25" Type="http://schemas.openxmlformats.org/officeDocument/2006/relationships/hyperlink" Target="https://www.garant.ru/products/ipo/prime/doc/405967263/?ysclid=ljm59x91w2859520507" TargetMode="External"/><Relationship Id="rId33" Type="http://schemas.openxmlformats.org/officeDocument/2006/relationships/hyperlink" Target="https://www.garant.ru/products/ipo/prime/doc/405967263/?ysclid=ljm59x91w2859520507" TargetMode="External"/><Relationship Id="rId38" Type="http://schemas.openxmlformats.org/officeDocument/2006/relationships/hyperlink" Target="https://www.garant.ru/products/ipo/prime/doc/405967263/?ysclid=ljm59x91w2859520507" TargetMode="External"/><Relationship Id="rId46" Type="http://schemas.openxmlformats.org/officeDocument/2006/relationships/hyperlink" Target="https://www.garant.ru/products/ipo/prime/doc/405967263/?ysclid=ljm59x91w2859520507" TargetMode="External"/><Relationship Id="rId2" Type="http://schemas.openxmlformats.org/officeDocument/2006/relationships/settings" Target="settings.xml"/><Relationship Id="rId16" Type="http://schemas.openxmlformats.org/officeDocument/2006/relationships/hyperlink" Target="https://www.garant.ru/products/ipo/prime/doc/405967263/?ysclid=ljm59x91w2859520507" TargetMode="External"/><Relationship Id="rId20" Type="http://schemas.openxmlformats.org/officeDocument/2006/relationships/hyperlink" Target="https://www.garant.ru/products/ipo/prime/doc/405967263/?ysclid=ljm59x91w2859520507" TargetMode="External"/><Relationship Id="rId29" Type="http://schemas.openxmlformats.org/officeDocument/2006/relationships/hyperlink" Target="https://www.garant.ru/products/ipo/prime/doc/405967263/?ysclid=ljm59x91w2859520507" TargetMode="External"/><Relationship Id="rId41" Type="http://schemas.openxmlformats.org/officeDocument/2006/relationships/hyperlink" Target="https://www.garant.ru/products/ipo/prime/doc/405967263/?ysclid=ljm59x91w2859520507" TargetMode="External"/><Relationship Id="rId1" Type="http://schemas.openxmlformats.org/officeDocument/2006/relationships/styles" Target="styles.xml"/><Relationship Id="rId6" Type="http://schemas.openxmlformats.org/officeDocument/2006/relationships/hyperlink" Target="https://www.garant.ru/products/ipo/prime/doc/405967263/?ysclid=ljm59x91w2859520507" TargetMode="External"/><Relationship Id="rId11" Type="http://schemas.openxmlformats.org/officeDocument/2006/relationships/hyperlink" Target="https://www.garant.ru/products/ipo/prime/doc/405967263/?ysclid=ljm59x91w2859520507" TargetMode="External"/><Relationship Id="rId24" Type="http://schemas.openxmlformats.org/officeDocument/2006/relationships/hyperlink" Target="https://www.garant.ru/products/ipo/prime/doc/405967263/?ysclid=ljm59x91w2859520507" TargetMode="External"/><Relationship Id="rId32" Type="http://schemas.openxmlformats.org/officeDocument/2006/relationships/hyperlink" Target="https://www.garant.ru/products/ipo/prime/doc/405967263/?ysclid=ljm59x91w2859520507" TargetMode="External"/><Relationship Id="rId37" Type="http://schemas.openxmlformats.org/officeDocument/2006/relationships/hyperlink" Target="https://www.garant.ru/products/ipo/prime/doc/405967263/?ysclid=ljm59x91w2859520507" TargetMode="External"/><Relationship Id="rId40" Type="http://schemas.openxmlformats.org/officeDocument/2006/relationships/hyperlink" Target="https://www.garant.ru/products/ipo/prime/doc/405967263/?ysclid=ljm59x91w2859520507" TargetMode="External"/><Relationship Id="rId45" Type="http://schemas.openxmlformats.org/officeDocument/2006/relationships/hyperlink" Target="https://www.garant.ru/products/ipo/prime/doc/405967263/?ysclid=ljm59x91w2859520507" TargetMode="External"/><Relationship Id="rId5" Type="http://schemas.openxmlformats.org/officeDocument/2006/relationships/hyperlink" Target="https://www.garant.ru/products/ipo/prime/doc/405967263/?ysclid=ljm59x91w2859520507" TargetMode="External"/><Relationship Id="rId15" Type="http://schemas.openxmlformats.org/officeDocument/2006/relationships/hyperlink" Target="https://www.garant.ru/products/ipo/prime/doc/405967263/?ysclid=ljm59x91w2859520507" TargetMode="External"/><Relationship Id="rId23" Type="http://schemas.openxmlformats.org/officeDocument/2006/relationships/hyperlink" Target="https://www.garant.ru/products/ipo/prime/doc/405967263/?ysclid=ljm59x91w2859520507" TargetMode="External"/><Relationship Id="rId28" Type="http://schemas.openxmlformats.org/officeDocument/2006/relationships/hyperlink" Target="https://www.garant.ru/products/ipo/prime/doc/405967263/?ysclid=ljm59x91w2859520507" TargetMode="External"/><Relationship Id="rId36" Type="http://schemas.openxmlformats.org/officeDocument/2006/relationships/hyperlink" Target="https://www.garant.ru/products/ipo/prime/doc/405967263/?ysclid=ljm59x91w2859520507" TargetMode="External"/><Relationship Id="rId49" Type="http://schemas.openxmlformats.org/officeDocument/2006/relationships/hyperlink" Target="https://www.garant.ru/products/ipo/prime/doc/405967263/?ysclid=ljm59x91w2859520507" TargetMode="External"/><Relationship Id="rId10" Type="http://schemas.openxmlformats.org/officeDocument/2006/relationships/hyperlink" Target="https://www.garant.ru/products/ipo/prime/doc/405967263/?ysclid=ljm59x91w2859520507" TargetMode="External"/><Relationship Id="rId19" Type="http://schemas.openxmlformats.org/officeDocument/2006/relationships/hyperlink" Target="https://www.garant.ru/products/ipo/prime/doc/405967263/?ysclid=ljm59x91w2859520507" TargetMode="External"/><Relationship Id="rId31" Type="http://schemas.openxmlformats.org/officeDocument/2006/relationships/hyperlink" Target="https://www.garant.ru/products/ipo/prime/doc/405967263/?ysclid=ljm59x91w2859520507" TargetMode="External"/><Relationship Id="rId44" Type="http://schemas.openxmlformats.org/officeDocument/2006/relationships/hyperlink" Target="https://www.garant.ru/products/ipo/prime/doc/405967263/?ysclid=ljm59x91w2859520507" TargetMode="External"/><Relationship Id="rId4" Type="http://schemas.openxmlformats.org/officeDocument/2006/relationships/hyperlink" Target="https://www.garant.ru/products/ipo/prime/doc/405967263/?ysclid=ljm59x91w2859520507" TargetMode="External"/><Relationship Id="rId9" Type="http://schemas.openxmlformats.org/officeDocument/2006/relationships/hyperlink" Target="https://www.garant.ru/products/ipo/prime/doc/405967263/?ysclid=ljm59x91w2859520507" TargetMode="External"/><Relationship Id="rId14" Type="http://schemas.openxmlformats.org/officeDocument/2006/relationships/hyperlink" Target="https://www.garant.ru/products/ipo/prime/doc/405967263/?ysclid=ljm59x91w2859520507" TargetMode="External"/><Relationship Id="rId22" Type="http://schemas.openxmlformats.org/officeDocument/2006/relationships/hyperlink" Target="https://www.garant.ru/products/ipo/prime/doc/405967263/?ysclid=ljm59x91w2859520507" TargetMode="External"/><Relationship Id="rId27" Type="http://schemas.openxmlformats.org/officeDocument/2006/relationships/hyperlink" Target="https://www.garant.ru/products/ipo/prime/doc/405967263/?ysclid=ljm59x91w2859520507" TargetMode="External"/><Relationship Id="rId30" Type="http://schemas.openxmlformats.org/officeDocument/2006/relationships/hyperlink" Target="https://www.garant.ru/products/ipo/prime/doc/405967263/?ysclid=ljm59x91w2859520507" TargetMode="External"/><Relationship Id="rId35" Type="http://schemas.openxmlformats.org/officeDocument/2006/relationships/hyperlink" Target="https://www.garant.ru/products/ipo/prime/doc/405967263/?ysclid=ljm59x91w2859520507" TargetMode="External"/><Relationship Id="rId43" Type="http://schemas.openxmlformats.org/officeDocument/2006/relationships/hyperlink" Target="https://www.garant.ru/products/ipo/prime/doc/405967263/?ysclid=ljm59x91w2859520507" TargetMode="External"/><Relationship Id="rId48" Type="http://schemas.openxmlformats.org/officeDocument/2006/relationships/hyperlink" Target="https://www.garant.ru/products/ipo/prime/doc/405967263/?ysclid=ljm59x91w2859520507" TargetMode="External"/><Relationship Id="rId8" Type="http://schemas.openxmlformats.org/officeDocument/2006/relationships/hyperlink" Target="https://www.garant.ru/products/ipo/prime/doc/405967263/?ysclid=ljm59x91w285952050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26649</Words>
  <Characters>151901</Characters>
  <Application>Microsoft Office Word</Application>
  <DocSecurity>0</DocSecurity>
  <Lines>1265</Lines>
  <Paragraphs>356</Paragraphs>
  <ScaleCrop>false</ScaleCrop>
  <Company/>
  <LinksUpToDate>false</LinksUpToDate>
  <CharactersWithSpaces>178194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Алексеевна</dc:creator>
  <cp:keywords/>
  <dc:description/>
  <cp:lastModifiedBy>Галина Алексеевна</cp:lastModifiedBy>
  <cp:revision>2</cp:revision>
  <dcterms:created xsi:type="dcterms:W3CDTF">2023-07-03T00:53:00Z</dcterms:created>
  <dcterms:modified xsi:type="dcterms:W3CDTF">2023-07-03T00:57:00Z</dcterms:modified>
</cp:coreProperties>
</file>